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1DA5D">
      <w:pPr>
        <w:spacing w:line="570" w:lineRule="exact"/>
        <w:jc w:val="center"/>
        <w:rPr>
          <w:rFonts w:ascii="华文中宋" w:hAnsi="华文中宋" w:eastAsia="华文中宋" w:cs="宋体"/>
          <w:b/>
          <w:kern w:val="0"/>
          <w:sz w:val="52"/>
          <w:szCs w:val="52"/>
        </w:rPr>
      </w:pPr>
    </w:p>
    <w:p w14:paraId="56C37E50">
      <w:pPr>
        <w:spacing w:line="570" w:lineRule="exact"/>
        <w:jc w:val="center"/>
        <w:rPr>
          <w:rFonts w:ascii="华文中宋" w:hAnsi="华文中宋" w:eastAsia="华文中宋" w:cs="宋体"/>
          <w:b/>
          <w:kern w:val="0"/>
          <w:sz w:val="52"/>
          <w:szCs w:val="52"/>
        </w:rPr>
      </w:pPr>
    </w:p>
    <w:p w14:paraId="4E7A1BFB">
      <w:pPr>
        <w:spacing w:line="570" w:lineRule="exact"/>
        <w:jc w:val="center"/>
        <w:rPr>
          <w:rFonts w:ascii="华文中宋" w:hAnsi="华文中宋" w:eastAsia="华文中宋" w:cs="宋体"/>
          <w:b/>
          <w:kern w:val="0"/>
          <w:sz w:val="52"/>
          <w:szCs w:val="52"/>
        </w:rPr>
      </w:pPr>
      <w:bookmarkStart w:id="0" w:name="_GoBack"/>
      <w:bookmarkEnd w:id="0"/>
    </w:p>
    <w:p w14:paraId="1EB3DFDB">
      <w:pPr>
        <w:spacing w:line="570" w:lineRule="exact"/>
        <w:jc w:val="center"/>
        <w:rPr>
          <w:rFonts w:ascii="华文中宋" w:hAnsi="华文中宋" w:eastAsia="华文中宋" w:cs="宋体"/>
          <w:b/>
          <w:kern w:val="0"/>
          <w:sz w:val="52"/>
          <w:szCs w:val="52"/>
        </w:rPr>
      </w:pPr>
    </w:p>
    <w:p w14:paraId="6AD77E8E">
      <w:pPr>
        <w:spacing w:line="570" w:lineRule="exact"/>
        <w:jc w:val="both"/>
        <w:rPr>
          <w:rFonts w:ascii="华文中宋" w:hAnsi="华文中宋" w:eastAsia="华文中宋" w:cs="宋体"/>
          <w:b/>
          <w:kern w:val="0"/>
          <w:sz w:val="52"/>
          <w:szCs w:val="52"/>
        </w:rPr>
      </w:pPr>
    </w:p>
    <w:p w14:paraId="70137B30">
      <w:pPr>
        <w:spacing w:line="570" w:lineRule="exact"/>
        <w:jc w:val="center"/>
        <w:rPr>
          <w:rFonts w:ascii="华文中宋" w:hAnsi="华文中宋" w:eastAsia="华文中宋" w:cs="宋体"/>
          <w:b/>
          <w:kern w:val="0"/>
          <w:sz w:val="52"/>
          <w:szCs w:val="52"/>
        </w:rPr>
      </w:pPr>
    </w:p>
    <w:p w14:paraId="145AD3A1">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131AFA33">
      <w:pPr>
        <w:spacing w:line="570" w:lineRule="exact"/>
        <w:jc w:val="center"/>
        <w:rPr>
          <w:rFonts w:ascii="华文中宋" w:hAnsi="华文中宋" w:eastAsia="华文中宋" w:cs="宋体"/>
          <w:b/>
          <w:kern w:val="0"/>
          <w:sz w:val="52"/>
          <w:szCs w:val="52"/>
        </w:rPr>
      </w:pPr>
    </w:p>
    <w:p w14:paraId="52DC3A00">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569CB7D">
      <w:pPr>
        <w:spacing w:line="570" w:lineRule="exact"/>
        <w:jc w:val="center"/>
        <w:rPr>
          <w:rFonts w:hAnsi="宋体" w:eastAsia="仿宋_GB2312" w:cs="宋体"/>
          <w:kern w:val="0"/>
          <w:sz w:val="30"/>
          <w:szCs w:val="30"/>
        </w:rPr>
      </w:pPr>
    </w:p>
    <w:p w14:paraId="0F3E4960">
      <w:pPr>
        <w:spacing w:line="570" w:lineRule="exact"/>
        <w:jc w:val="center"/>
        <w:rPr>
          <w:rFonts w:hAnsi="宋体" w:eastAsia="仿宋_GB2312" w:cs="宋体"/>
          <w:kern w:val="0"/>
          <w:sz w:val="30"/>
          <w:szCs w:val="30"/>
        </w:rPr>
      </w:pPr>
    </w:p>
    <w:p w14:paraId="39BD0BE6">
      <w:pPr>
        <w:spacing w:line="570" w:lineRule="exact"/>
        <w:jc w:val="center"/>
        <w:rPr>
          <w:rFonts w:hAnsi="宋体" w:eastAsia="仿宋_GB2312" w:cs="宋体"/>
          <w:kern w:val="0"/>
          <w:sz w:val="30"/>
          <w:szCs w:val="30"/>
        </w:rPr>
      </w:pPr>
    </w:p>
    <w:p w14:paraId="1E4D87EC">
      <w:pPr>
        <w:spacing w:line="570" w:lineRule="exact"/>
        <w:jc w:val="center"/>
        <w:rPr>
          <w:rFonts w:hAnsi="宋体" w:eastAsia="仿宋_GB2312" w:cs="宋体"/>
          <w:kern w:val="0"/>
          <w:sz w:val="30"/>
          <w:szCs w:val="30"/>
        </w:rPr>
      </w:pPr>
    </w:p>
    <w:p w14:paraId="249C6A8A">
      <w:pPr>
        <w:spacing w:line="570" w:lineRule="exact"/>
        <w:jc w:val="center"/>
        <w:rPr>
          <w:rFonts w:hAnsi="宋体" w:eastAsia="仿宋_GB2312" w:cs="宋体"/>
          <w:kern w:val="0"/>
          <w:sz w:val="30"/>
          <w:szCs w:val="30"/>
        </w:rPr>
      </w:pPr>
    </w:p>
    <w:p w14:paraId="2CBEB6D7">
      <w:pPr>
        <w:spacing w:line="570" w:lineRule="exact"/>
        <w:jc w:val="center"/>
        <w:rPr>
          <w:rFonts w:hAnsi="宋体" w:eastAsia="仿宋_GB2312" w:cs="宋体"/>
          <w:kern w:val="0"/>
          <w:sz w:val="30"/>
          <w:szCs w:val="30"/>
        </w:rPr>
      </w:pPr>
    </w:p>
    <w:p w14:paraId="47C0F6A9">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中央补助地方公共服务体系建设补助资金 （戏曲进乡村补助项目）</w:t>
      </w:r>
    </w:p>
    <w:p w14:paraId="1F644F7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塔什库尔干塔吉克自治县文工团</w:t>
      </w:r>
    </w:p>
    <w:p w14:paraId="03B400BB">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塔什库尔干塔吉克自治县文化体育广播电视和旅游局</w:t>
      </w:r>
    </w:p>
    <w:p w14:paraId="46983A5E">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苏琴</w:t>
      </w:r>
    </w:p>
    <w:p w14:paraId="186C2ACE">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2025年04月11日</w:t>
      </w:r>
    </w:p>
    <w:p w14:paraId="2335AE14">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C121CC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43864F1B">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1BD0CA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中央补助地方公共服务体系建设补助资金 （戏曲进乡村补助项目）实施前期、过程及效果，评价财政预算资金使用的效率及效益。通过该项目的实施，增加农村文化公共服务总量，解决农牧民看观难的问题，推动农村文化建设良好的局面，不断满足基层群众的精神文化需求，增强基层、群众对公共文化服务的获得感，用先进文化占领农村文化阵地，培育文明乡风，建设美丽乡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本项目建设主要服务于当地公共服务体系建设的发展。用于用于贫困地区戏曲进乡村专项经费，为全县13个贫困乡镇配送戏曲进乡村13场。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塔什库尔干塔吉克自治县文工团为全额拨款事业单位，纳入2024年部门决算编制范围的有1个办公室1个排练厅。</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编制人数18人，其中：行政人员编制0人、工勤0人、参公0人、事业编制18人。实有在职人数18人，其中：事业在职18人。离退休人员8人，其中：事业退休8人。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根据《关于拨付2024年中央补助地方公共文化服务体系建设补助资金（戏曲进乡村）资金的通知》（喀地财教【2023]59号）共安排下达资金32.5万元，最终确定项目资金总数为32.5万元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截至2024年12月31日，实际支出32.5万元，预算执行率100%。</w:t>
      </w:r>
    </w:p>
    <w:p w14:paraId="0CC709C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2D37EC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入资金32.5万元，用于贫困地区戏曲进乡村专项经费，为全县13个贫困乡镇配送戏曲进乡村13场，每场演出经费为2.5万元。通过该项目的实施，增加农村文化公共服务总量，解决农牧民看观难的问题，推动农村文化建设良好的局面，不断满足基层群众的精神文化需求，增强基层、群众对公共文化服务的获得感，用先进文化占领农村文化阵地，培育文明乡风，建设美丽乡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塔吉克自治县文工团作为项目的实施单位，第一时间与相关主管部门单位沟通，制定项目实施方案，项目绩效目标表等，根据县人大工作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38412AF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4CEA0C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0C763E5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71BB1B2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3AC11A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中央补助地方公共服务体系建设补助资金 （戏曲进乡村补助项目）项目综合评分表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4907134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4D4E528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苏琴任评价组组长，绩效评价工作职责为负责全盘工作。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依力发提任评价组副组长，绩效评价工作职责为为对项目实施情况进行实地调查。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迪力任评价组成员，绩效评价工作职责为负责资料审核等工作。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6869776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2A3623F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通过实施中央补助地方公共服务体系建设补助资金 （戏曲进乡村补助项目）增加农村文化公共服务总量，解决农牧民看观难的问题，推动农村文化建设良好的局面，不断满足基层群众的精神文化需求，增强基层、群众对公共文化服务的获得感，用先进文化占领农村文化阵地，培育文明乡风，建设美丽乡村。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关于拨付2024年中央补助地方公共文化服务体系建设补助资金（戏曲进乡村）资金的通知》（喀地财教【2023]59号）文件立项，项目实施符合《关于拨付2024年中央补助地方公共文化服务体系建设补助资金（戏曲进乡村）资金的通知》（喀地财教【2023]59号）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项目过程：中央补助地方公共服务体系建设补助资金 （戏曲进乡村补助项目）预算安排 32.50万元，实际支出32.50万元，预算执行率100%。项目资金使用合规，项目财务管理制度健全，财务监控到位，所有资金支付均按照国库集中支付制度严格执行，现有项目管理制度执行情况良好。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项目产出：截止评价日，已支付戏曲进乡村文艺演出费用32.5万元，用于戏曲进乡村文艺演出13场次，贫困村文体活动器材配备率95%，资金按时拨付率100%，项目完成时间2024年12月25日。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增加农村文化公共服务总量，解决农牧民看观难的问题，推动农村文化建设良好的局面，不断满足基层群众的精神文化需求，增强基层、群众对公共文化服务的获得感，用先进文化占领农村文化阵地，培育文明乡风，建设美丽乡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中央补助地方公共服务体系建设补助资金 （戏曲进乡村补助项目）进行客观评价，最终评分结果：评价总分100分，绩效等级为“优”。</w:t>
      </w:r>
    </w:p>
    <w:p w14:paraId="396DB7EC">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4A78B20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EECDF3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关于拨付2024年中央补助地方公共文化服务体系建设补助资金（戏曲进乡村）资金的通知》（喀地财教【2023]59号）文件的要求；经检查我单位财政管理一体化信息系统，本项目不存在重复。结合塔什库尔干塔吉克自治县文工团职责，并组织实施该项目。围绕塔什库尔干塔吉克自治县文工团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（2）立项程序规范性：根据《关于拨付2024年中央补助地方公共文化服务体系建设补助资金（戏曲进乡村）资金的通知》（喀地财教【2023]59号）以及《中央补助地方公共服务体系建设补助资金 （戏曲进乡村补助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32.5万元，用于贫困地区戏曲进乡村专项经费，为全县13个贫困乡镇配送戏曲进乡村13场，每场演出经费为2.5万元。通过该项目的实施，增加农村文化公共服务总量，解决农牧民看观难的问题，推动农村文化建设良好的局面，不断满足基层群众的精神文化需求，增强基层、群众对公共文化服务的获得感，用先进文化占领农村文化阵地，培育文明乡风，建设美丽乡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w:t>
      </w:r>
      <w:r>
        <w:rPr>
          <w:rStyle w:val="18"/>
          <w:rFonts w:hint="eastAsia" w:ascii="仿宋" w:hAnsi="仿宋" w:eastAsia="仿宋" w:cs="仿宋"/>
          <w:b w:val="0"/>
          <w:bCs w:val="0"/>
          <w:spacing w:val="-4"/>
          <w:sz w:val="32"/>
          <w:szCs w:val="32"/>
          <w:lang w:eastAsia="zh-CN"/>
        </w:rPr>
        <w:t>截至目前</w:t>
      </w:r>
      <w:r>
        <w:rPr>
          <w:rStyle w:val="18"/>
          <w:rFonts w:hint="eastAsia" w:ascii="仿宋" w:hAnsi="仿宋" w:eastAsia="仿宋" w:cs="仿宋"/>
          <w:b w:val="0"/>
          <w:bCs w:val="0"/>
          <w:spacing w:val="-4"/>
          <w:sz w:val="32"/>
          <w:szCs w:val="32"/>
        </w:rPr>
        <w:t>该项目已执行资金32.5万元，已用于支付贫困地区戏曲进乡村专项经费，为全县13个贫困乡镇配送戏曲进乡村13场，每场演出经费为2.5万元。该项目的实施，增加了农村文化公共服务总量，解决了农牧民看观难的问题，推动农村文化建设良好的局面，不断满足基层群众的精神文化需求，增强基层、群众对公共文化服务的获得感，用先进文化占领农村文化阵地，培育文明乡风，建设美丽乡村。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支付戏曲进乡村文艺演出费用32.5万元，用于戏曲进乡村文艺演出13场次，贫困村文体活动器材配备率95%，资金按时拨付率100%，项目完成时间2024年12月25日，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④该项目批复的预算金额为32.5万元，《项目支出绩效目标表》中预算金额为32.5万元，预算确定的项目资金与预算确定的项目投资额相匹配。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⑤本单位制定了《中央补助地方公共服务体系建设补助资金 （戏曲进乡村补助项目）实施方案》，明确了总体思路及目标、并对任务进行了详细分解，对目标进行了细化。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贫困地区乡镇送戏场次13场次，三级指标的年度指标值与年度绩效目标中任务数一致，已设置时效指标“资金按时拨付率100%、项目完成时间2024年12月25日”。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预算申请内容为用于戏曲进乡村文艺演出补助支出32.5万元，项目实际内容为总投资32.5万元，主要用于戏曲进乡村文艺演出补助支出，预算申请与《中央补助地方公共服务体系建设补助资金 （戏曲进乡村补助项目）实施方案》中涉及的项目内容匹配；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32.5万元，我单位在预算申请中严格按照项目实施内容及测算标准进行核算，其中：戏曲进乡村文艺演出补助成本32.5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（6）资金分配合理性：本项目实际分配资金以《中央补助地方公共服务体系建设补助资金 （戏曲进乡村补助项目）实施方案》为依据进行资金分配，预算资金分配依据充分。《关于拨付2024年中央补助地方公共文化服务体系建设补助资金（戏曲进乡村）资金的通知》（喀地财教【2023]59号），本项目实际到位资金32.5万元，资金分配额度合理，与我单位实际需求相适应。资金分配与实际相适应，根据评分标准，该指标不扣分，得2分。</w:t>
      </w:r>
    </w:p>
    <w:p w14:paraId="649C384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41A8FF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32.5万元，其中：财政安排资金32.5万元，实际到位资金32.5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（2）预算执行率：本项目实际支出资金32.5万元，预算执行率=（32.5/32.5）×100%=100%；通过分析可知，该项目预算编制较为详细，项目资金支出总体能够按照预算执行，根据评分标准，该指标不扣分，得3分。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塔吉克自治县文工团资金管理办法》《塔什库尔干塔吉克自治县文工团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文工团资金管理办法》《塔什库尔干塔吉克自治县文工团收支业务管理制度》《塔什库尔干塔吉克自治县文工团政府采购业务管理制度》《塔什库尔干塔吉克自治县文工团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文工团资金管理办法》《塔什库尔干塔吉克自治县文工团收支业务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中央补助地方公共服务体系建设补助资金 （戏曲进乡村补助项目）工作领导小组，由苏琴任组长，负责项目的组织工作；依力法提任副组长，负责项目的实施工作；组员包括：迪力，主要负责项目监督管理、验收以及资金核拨等工作。根据评分标准，该指标不扣分，得5分。</w:t>
      </w:r>
    </w:p>
    <w:p w14:paraId="5B9C775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2558B4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贫困地区乡镇送戏场次指标，预期指标值为大于等于13场次，实际完成值为等于13场次，指标完成率为100%，与预期目标一致，根据评分标准，该指标不扣分，得10分。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贫困村文体活动器材配备率指标，预期指标值为大于等于95%，实际完成值为等于95%，指标完成率为100%，与预期目标一致，根据评分标准，该指标不扣分，得10分。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资金按时拨付率指标，预期指标值为等于100%，实际完成值为等于100%，指标完成率为100%，与预期目标一致，根据评分标准，该指标不扣分，得5分。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项目完成时间指标，预期指标值为2024年12月25日前，实际完成值为2024年12月25日，指标完成率为100%，与预期目标一致，根据评分标准，该指标不扣分，得5分。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戏曲进乡村文艺演出补助标准指标，预期指标值为小于等于2.50万元/场，实际完成值为等于2.50万元/场，指标完成率为100%，项目经费都能控制绩效目标范围内，根据评分标准，该指标不扣分，得15分。</w:t>
      </w:r>
    </w:p>
    <w:p w14:paraId="27730E9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E275E36">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各类文艺活动观看人数指标，该指标预期指标值为大于等于3000人，实际完成值为于3000人，指标完成率为100%，与预期指标一致，根据评分标准，该指标不扣分，得5分。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推动农村文化建设良好的局面不断满足基层群众的精神文化需求指标，该指标预期指标值为推动，实际完成值为推动，指标完成率为100%，与预期指标一致，根据评分标准，该指标不扣分，得5分。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167A824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17E88FF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对于“满意度指标：贫困地区群众对基本公共文化服务体系满意度，该指标预期指标值为大于等于98%，实际完成值为等于98%，指标完成率为100%，与预期目标一致，根据评分标准，该指标不扣分,得10分。</w:t>
      </w:r>
    </w:p>
    <w:p w14:paraId="6AAD90A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2EC1A7E6">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中央补助地方公共服务体系建设补助资金 （戏曲进乡村补助项目）预算32.50万元，到位32.50万元，实际支出32.50万元，预算执行率为100%，项目绩效指标总体完成率为100%，无偏差。</w:t>
      </w:r>
    </w:p>
    <w:p w14:paraId="11FD1DAD">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1AE570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一是本项目能够严格按照《中央补助地方公共服务体系建设补助资金 （戏曲进乡村补助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222EAAB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D57891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3AB0FEA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282D4BB4">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5646737">
        <w:pPr>
          <w:pStyle w:val="12"/>
          <w:jc w:val="center"/>
        </w:pPr>
        <w:r>
          <w:fldChar w:fldCharType="begin"/>
        </w:r>
        <w:r>
          <w:instrText xml:space="preserve">PAGE   \* MERGEFORMAT</w:instrText>
        </w:r>
        <w:r>
          <w:fldChar w:fldCharType="separate"/>
        </w:r>
        <w:r>
          <w:rPr>
            <w:lang w:val="zh-CN"/>
          </w:rPr>
          <w:t>1</w:t>
        </w:r>
        <w:r>
          <w:fldChar w:fldCharType="end"/>
        </w:r>
      </w:p>
    </w:sdtContent>
  </w:sdt>
  <w:p w14:paraId="2EB295B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38858BB"/>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9173</Words>
  <Characters>9598</Characters>
  <Lines>5</Lines>
  <Paragraphs>1</Paragraphs>
  <TotalTime>0</TotalTime>
  <ScaleCrop>false</ScaleCrop>
  <LinksUpToDate>false</LinksUpToDate>
  <CharactersWithSpaces>10896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2025-09-04T08:35:35Z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